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6D56871D" w14:textId="77777777" w:rsidR="005E4230" w:rsidRDefault="00DC4C91" w:rsidP="000B01A4">
      <w:pPr>
        <w:pStyle w:val="ListParagraph"/>
        <w:numPr>
          <w:ilvl w:val="0"/>
          <w:numId w:val="1"/>
        </w:numPr>
        <w:spacing w:after="0"/>
      </w:pPr>
      <w:r>
        <w:t>Working group n</w:t>
      </w:r>
      <w:r w:rsidR="000B01A4" w:rsidRPr="003110FB">
        <w:t>ame:</w:t>
      </w:r>
    </w:p>
    <w:p w14:paraId="73D4016D" w14:textId="77777777" w:rsidR="005E4230" w:rsidRDefault="005E4230" w:rsidP="005E4230">
      <w:pPr>
        <w:pStyle w:val="ListParagraph"/>
        <w:spacing w:after="0"/>
      </w:pPr>
    </w:p>
    <w:p w14:paraId="4F7CC403" w14:textId="03362493" w:rsidR="000B01A4" w:rsidRPr="005E4230" w:rsidRDefault="0067592A" w:rsidP="005E4230">
      <w:pPr>
        <w:pStyle w:val="ListParagraph"/>
        <w:spacing w:after="0"/>
        <w:rPr>
          <w:i/>
          <w:color w:val="0070C0"/>
        </w:rPr>
      </w:pPr>
      <w:r w:rsidRPr="005E4230">
        <w:rPr>
          <w:i/>
          <w:color w:val="0070C0"/>
        </w:rPr>
        <w:t>Cultivation</w:t>
      </w:r>
      <w:r w:rsidR="005E4230" w:rsidRPr="005E4230">
        <w:rPr>
          <w:i/>
          <w:color w:val="0070C0"/>
        </w:rPr>
        <w:t xml:space="preserve"> Working Group</w:t>
      </w:r>
    </w:p>
    <w:p w14:paraId="403A0A8A" w14:textId="77777777" w:rsidR="000B01A4" w:rsidRPr="003110FB" w:rsidRDefault="000B01A4" w:rsidP="003E257A">
      <w:pPr>
        <w:spacing w:after="0"/>
      </w:pPr>
    </w:p>
    <w:p w14:paraId="2DF7D040" w14:textId="32C396F4" w:rsidR="000B01A4" w:rsidRDefault="00DC4C91" w:rsidP="000B01A4">
      <w:pPr>
        <w:pStyle w:val="ListParagraph"/>
        <w:numPr>
          <w:ilvl w:val="0"/>
          <w:numId w:val="1"/>
        </w:numPr>
        <w:spacing w:after="0"/>
      </w:pPr>
      <w:r>
        <w:t>Individual s</w:t>
      </w:r>
      <w:r w:rsidR="007746E2" w:rsidRPr="003110FB">
        <w:t xml:space="preserve">ponsor(s): </w:t>
      </w:r>
    </w:p>
    <w:p w14:paraId="1482EA22" w14:textId="77777777" w:rsidR="005E4230" w:rsidRDefault="005E4230" w:rsidP="005E4230">
      <w:pPr>
        <w:pStyle w:val="ListParagraph"/>
        <w:spacing w:after="0"/>
      </w:pPr>
    </w:p>
    <w:p w14:paraId="2D348460" w14:textId="77777777" w:rsidR="005E4230" w:rsidRPr="00202189" w:rsidRDefault="005E4230" w:rsidP="005E4230">
      <w:pPr>
        <w:spacing w:after="0"/>
        <w:ind w:left="720"/>
        <w:rPr>
          <w:i/>
          <w:color w:val="0070C0"/>
        </w:rPr>
      </w:pPr>
      <w:r w:rsidRPr="00202189">
        <w:rPr>
          <w:i/>
          <w:color w:val="0070C0"/>
        </w:rPr>
        <w:t>Lynn Hettrick – Division Administrator - Nevada Department of Agriculture</w:t>
      </w:r>
    </w:p>
    <w:p w14:paraId="7D5CC582" w14:textId="3CB92444" w:rsidR="005E4230" w:rsidRPr="005E4230" w:rsidRDefault="005E4230" w:rsidP="005E4230">
      <w:pPr>
        <w:spacing w:after="0"/>
        <w:ind w:left="720"/>
        <w:rPr>
          <w:i/>
          <w:color w:val="0070C0"/>
        </w:rPr>
      </w:pPr>
      <w:r w:rsidRPr="00202189">
        <w:rPr>
          <w:i/>
          <w:color w:val="0070C0"/>
        </w:rPr>
        <w:t xml:space="preserve">Tessa Rognier – Agriculturist III - Nevada Department of Agriculture </w:t>
      </w:r>
    </w:p>
    <w:p w14:paraId="16FCE777" w14:textId="77777777" w:rsidR="000B01A4" w:rsidRPr="003110FB" w:rsidRDefault="000B01A4" w:rsidP="000B01A4">
      <w:pPr>
        <w:spacing w:after="0"/>
      </w:pPr>
    </w:p>
    <w:p w14:paraId="24322531" w14:textId="77777777" w:rsidR="005043DB" w:rsidRDefault="00DC4C91" w:rsidP="000B01A4">
      <w:pPr>
        <w:pStyle w:val="ListParagraph"/>
        <w:numPr>
          <w:ilvl w:val="0"/>
          <w:numId w:val="1"/>
        </w:numPr>
        <w:spacing w:after="0"/>
      </w:pPr>
      <w:r>
        <w:t>Describe the r</w:t>
      </w:r>
      <w:r w:rsidR="000B01A4" w:rsidRPr="003110FB">
        <w:t>ecommendation:</w:t>
      </w:r>
      <w:r w:rsidR="0067592A">
        <w:t xml:space="preserve"> </w:t>
      </w:r>
    </w:p>
    <w:p w14:paraId="25B12C42" w14:textId="77777777" w:rsidR="005E4230" w:rsidRDefault="005E4230" w:rsidP="005E4230">
      <w:pPr>
        <w:pStyle w:val="ListParagraph"/>
        <w:spacing w:after="0"/>
      </w:pPr>
    </w:p>
    <w:p w14:paraId="067CD901" w14:textId="6A76EE26" w:rsidR="005E4230" w:rsidRPr="00A72E9B" w:rsidRDefault="0067592A" w:rsidP="00115CA0">
      <w:pPr>
        <w:ind w:left="720"/>
        <w:jc w:val="both"/>
        <w:rPr>
          <w:i/>
          <w:color w:val="2E74B5" w:themeColor="accent1" w:themeShade="BF"/>
        </w:rPr>
      </w:pPr>
      <w:r w:rsidRPr="00A72E9B">
        <w:rPr>
          <w:i/>
          <w:color w:val="0070C0"/>
        </w:rPr>
        <w:t xml:space="preserve">The recommendation is to establish guidelines for </w:t>
      </w:r>
      <w:r w:rsidR="00777932" w:rsidRPr="00A72E9B">
        <w:rPr>
          <w:i/>
          <w:color w:val="0070C0"/>
        </w:rPr>
        <w:t>compliance with Pesticide Worker Protection Standards</w:t>
      </w:r>
      <w:r w:rsidR="005043DB" w:rsidRPr="00A72E9B">
        <w:rPr>
          <w:i/>
          <w:color w:val="0070C0"/>
        </w:rPr>
        <w:t>.</w:t>
      </w:r>
      <w:r w:rsidR="00250973" w:rsidRPr="00A72E9B">
        <w:rPr>
          <w:i/>
          <w:color w:val="0070C0"/>
        </w:rPr>
        <w:t xml:space="preserve">  </w:t>
      </w:r>
      <w:r w:rsidR="00196158" w:rsidRPr="00A72E9B">
        <w:rPr>
          <w:i/>
          <w:color w:val="2E74B5" w:themeColor="accent1" w:themeShade="BF"/>
        </w:rPr>
        <w:t>Certification through Nevada Department of Agriculture (NDA) Pesticide Certification Program of at least one cultivation facility staff member in Commercial Greenhouse category for indoor cultivation and/or Commercial Agricultural Plant/Animal category for outdoor cultivation.</w:t>
      </w:r>
      <w:r w:rsidR="00E41DFB">
        <w:t xml:space="preserve">  </w:t>
      </w:r>
      <w:r w:rsidR="00E41DFB" w:rsidRPr="00A72E9B">
        <w:rPr>
          <w:i/>
          <w:color w:val="2E74B5" w:themeColor="accent1" w:themeShade="BF"/>
        </w:rPr>
        <w:t>R</w:t>
      </w:r>
      <w:r w:rsidR="00EA782F" w:rsidRPr="00A72E9B">
        <w:rPr>
          <w:i/>
          <w:color w:val="2E74B5" w:themeColor="accent1" w:themeShade="BF"/>
        </w:rPr>
        <w:t>andom and/or scheduled facility visits by NDA staff</w:t>
      </w:r>
      <w:r w:rsidR="00E41DFB" w:rsidRPr="00A72E9B">
        <w:rPr>
          <w:i/>
          <w:color w:val="2E74B5" w:themeColor="accent1" w:themeShade="BF"/>
        </w:rPr>
        <w:t xml:space="preserve"> inspectors in conjunction with cultivation and pesticide consultations, </w:t>
      </w:r>
      <w:r w:rsidR="00EA782F" w:rsidRPr="00A72E9B">
        <w:rPr>
          <w:i/>
          <w:color w:val="2E74B5" w:themeColor="accent1" w:themeShade="BF"/>
        </w:rPr>
        <w:t>quality assurance or for cause, such as a complaint.</w:t>
      </w:r>
    </w:p>
    <w:p w14:paraId="4A3730F6" w14:textId="77777777" w:rsidR="00E9081E" w:rsidRPr="005E4230" w:rsidRDefault="00E9081E" w:rsidP="005E4230">
      <w:pPr>
        <w:pStyle w:val="ListParagraph"/>
        <w:spacing w:after="0"/>
        <w:jc w:val="both"/>
        <w:rPr>
          <w:i/>
          <w:color w:val="0070C0"/>
        </w:rPr>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84FE8DD" w14:textId="77777777" w:rsidR="005E4230" w:rsidRPr="003110FB" w:rsidRDefault="005E4230" w:rsidP="005E4230">
      <w:pPr>
        <w:pStyle w:val="ListParagraph"/>
        <w:spacing w:after="0"/>
      </w:pPr>
    </w:p>
    <w:p w14:paraId="2FFEFA58" w14:textId="31272A3F" w:rsidR="00E9081E" w:rsidRPr="005E4230" w:rsidRDefault="005E4230" w:rsidP="005E4230">
      <w:pPr>
        <w:spacing w:after="0"/>
        <w:ind w:left="720"/>
        <w:jc w:val="both"/>
        <w:rPr>
          <w:i/>
          <w:color w:val="0070C0"/>
        </w:rPr>
      </w:pPr>
      <w:r w:rsidRPr="005E4230">
        <w:rPr>
          <w:i/>
          <w:color w:val="0070C0"/>
        </w:rPr>
        <w:t xml:space="preserve">Guiding Principle </w:t>
      </w:r>
      <w:r w:rsidR="005043DB" w:rsidRPr="005E4230">
        <w:rPr>
          <w:i/>
          <w:color w:val="0070C0"/>
        </w:rPr>
        <w:t>6</w:t>
      </w:r>
      <w:r w:rsidRPr="005E4230">
        <w:rPr>
          <w:i/>
          <w:color w:val="0070C0"/>
        </w:rPr>
        <w:t xml:space="preserve"> </w:t>
      </w:r>
      <w:r w:rsidR="005043DB" w:rsidRPr="005E4230">
        <w:rPr>
          <w:i/>
          <w:color w:val="0070C0"/>
        </w:rPr>
        <w:t>-</w:t>
      </w:r>
      <w:r w:rsidRPr="005E4230">
        <w:rPr>
          <w:i/>
          <w:color w:val="0070C0"/>
        </w:rPr>
        <w:t xml:space="preserve"> </w:t>
      </w:r>
      <w:r w:rsidR="005043DB" w:rsidRPr="005E4230">
        <w:rPr>
          <w:i/>
          <w:color w:val="0070C0"/>
        </w:rPr>
        <w:t>Establish regulations that are clear and practical, so that interactions between law enforcement, consumers, and licensees are predictable and understandable</w:t>
      </w:r>
    </w:p>
    <w:p w14:paraId="468C775F" w14:textId="77777777" w:rsidR="005E4230" w:rsidRPr="005E4230" w:rsidRDefault="005E4230" w:rsidP="005E4230">
      <w:pPr>
        <w:spacing w:after="0"/>
        <w:ind w:left="720"/>
        <w:jc w:val="both"/>
        <w:rPr>
          <w:i/>
          <w:color w:val="0070C0"/>
        </w:rPr>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E9DC16B" w14:textId="77777777" w:rsidR="005E4230" w:rsidRPr="003110FB" w:rsidRDefault="005E4230" w:rsidP="005E4230">
      <w:pPr>
        <w:pStyle w:val="ListParagraph"/>
        <w:spacing w:after="0"/>
      </w:pPr>
    </w:p>
    <w:p w14:paraId="08968A22" w14:textId="05A0A217" w:rsidR="00755B09" w:rsidRPr="00115CA0" w:rsidRDefault="00755B09" w:rsidP="00755B09">
      <w:pPr>
        <w:pStyle w:val="ListParagraph"/>
        <w:spacing w:after="0"/>
        <w:jc w:val="both"/>
        <w:rPr>
          <w:i/>
          <w:color w:val="2E74B5" w:themeColor="accent1" w:themeShade="BF"/>
          <w:shd w:val="clear" w:color="auto" w:fill="FFFFFF"/>
        </w:rPr>
      </w:pPr>
      <w:r w:rsidRPr="00115CA0">
        <w:rPr>
          <w:i/>
          <w:color w:val="0070C0"/>
        </w:rPr>
        <w:t>Section 13, Subsection 5:</w:t>
      </w:r>
      <w:r w:rsidR="005803ED" w:rsidRPr="00115CA0">
        <w:rPr>
          <w:i/>
          <w:color w:val="0070C0"/>
        </w:rPr>
        <w:t xml:space="preserve"> </w:t>
      </w:r>
      <w:r w:rsidRPr="00115CA0">
        <w:rPr>
          <w:color w:val="000000"/>
          <w:shd w:val="clear" w:color="auto" w:fill="FFFFFF"/>
        </w:rPr>
        <w:t> </w:t>
      </w:r>
      <w:r w:rsidRPr="00115CA0">
        <w:rPr>
          <w:i/>
          <w:color w:val="2E74B5" w:themeColor="accent1" w:themeShade="BF"/>
          <w:shd w:val="clear" w:color="auto" w:fill="FFFFFF"/>
        </w:rPr>
        <w:t>A marijuana establishment is subject to reasonable inspection by the Department, and a person who holds a marijuana establishment license must make himself or herself, or an agent thereof, available and present for any inspection required by the Department. The Department shall make reasonable accommodations so that ordinary business is not interrupted and safety and security procedures are not compromised by the inspection.</w:t>
      </w:r>
    </w:p>
    <w:p w14:paraId="6EE4D826" w14:textId="77777777" w:rsidR="00755B09" w:rsidRDefault="00755B09" w:rsidP="00755B09">
      <w:pPr>
        <w:pStyle w:val="ListParagraph"/>
        <w:spacing w:after="0"/>
        <w:jc w:val="both"/>
      </w:pPr>
    </w:p>
    <w:p w14:paraId="527A1772" w14:textId="123DFB78" w:rsidR="007A4A8C" w:rsidRPr="00755B09" w:rsidRDefault="00E9081E" w:rsidP="00755B09">
      <w:pPr>
        <w:pStyle w:val="ListParagraph"/>
        <w:numPr>
          <w:ilvl w:val="0"/>
          <w:numId w:val="1"/>
        </w:numPr>
        <w:spacing w:after="0"/>
        <w:jc w:val="both"/>
        <w:rPr>
          <w:rFonts w:ascii="Helvetica" w:hAnsi="Helvetica"/>
          <w:color w:val="000000"/>
          <w:sz w:val="21"/>
          <w:szCs w:val="21"/>
          <w:shd w:val="clear" w:color="auto" w:fill="FFFFFF"/>
        </w:rPr>
      </w:pPr>
      <w:r w:rsidRPr="003110FB">
        <w:t>What issue(s) does the recommendation resolve?</w:t>
      </w:r>
    </w:p>
    <w:p w14:paraId="106BFA65" w14:textId="77777777" w:rsidR="005E4230" w:rsidRPr="003110FB" w:rsidRDefault="005E4230" w:rsidP="005E4230">
      <w:pPr>
        <w:pStyle w:val="ListParagraph"/>
        <w:spacing w:after="0"/>
      </w:pPr>
    </w:p>
    <w:p w14:paraId="5C6BCCA4" w14:textId="36CDF129" w:rsidR="001B0ADC" w:rsidRPr="005E4230" w:rsidRDefault="002F5B96" w:rsidP="005E4230">
      <w:pPr>
        <w:spacing w:after="0"/>
        <w:ind w:left="720"/>
        <w:jc w:val="both"/>
        <w:rPr>
          <w:i/>
          <w:color w:val="0070C0"/>
        </w:rPr>
      </w:pPr>
      <w:r>
        <w:rPr>
          <w:i/>
          <w:color w:val="0070C0"/>
        </w:rPr>
        <w:t>To ensure safe use of pesticides in outdoor and indoor cultivation facilities, considered under Worker Protection Standards to be indoor/outdoor greenhouses and outdoor cultivation farm establishments.</w:t>
      </w:r>
    </w:p>
    <w:p w14:paraId="7ABEA5B8" w14:textId="77777777" w:rsidR="001B0ADC" w:rsidRPr="003110FB" w:rsidRDefault="001B0ADC" w:rsidP="001B0ADC">
      <w:pPr>
        <w:spacing w:after="0"/>
      </w:pPr>
    </w:p>
    <w:p w14:paraId="19719B95" w14:textId="77777777" w:rsidR="005E4230"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r w:rsidR="00F944B2">
        <w:t xml:space="preserve">  </w:t>
      </w:r>
    </w:p>
    <w:p w14:paraId="709312FB" w14:textId="77777777" w:rsidR="00115CA0" w:rsidRDefault="00115CA0" w:rsidP="00115CA0">
      <w:pPr>
        <w:pStyle w:val="ListParagraph"/>
        <w:spacing w:after="0"/>
      </w:pPr>
    </w:p>
    <w:p w14:paraId="3588FBE3" w14:textId="51E4DC02" w:rsidR="00E9081E" w:rsidRDefault="00115CA0" w:rsidP="00115CA0">
      <w:pPr>
        <w:pStyle w:val="ListParagraph"/>
        <w:spacing w:after="0"/>
        <w:rPr>
          <w:i/>
          <w:color w:val="0070C0"/>
        </w:rPr>
      </w:pPr>
      <w:r w:rsidRPr="00115CA0">
        <w:rPr>
          <w:i/>
          <w:color w:val="0070C0"/>
        </w:rPr>
        <w:t>No dissent</w:t>
      </w:r>
    </w:p>
    <w:p w14:paraId="53D924C6" w14:textId="77777777" w:rsidR="00115CA0" w:rsidRPr="00115CA0" w:rsidRDefault="00115CA0" w:rsidP="00115CA0">
      <w:pPr>
        <w:pStyle w:val="ListParagraph"/>
        <w:spacing w:after="0"/>
        <w:rPr>
          <w:i/>
          <w:color w:val="0070C0"/>
        </w:rPr>
      </w:pPr>
    </w:p>
    <w:p w14:paraId="6333FE17" w14:textId="77777777" w:rsidR="00E9081E" w:rsidRDefault="00E9081E" w:rsidP="007A4A8C">
      <w:pPr>
        <w:pStyle w:val="ListParagraph"/>
        <w:numPr>
          <w:ilvl w:val="0"/>
          <w:numId w:val="1"/>
        </w:numPr>
        <w:spacing w:after="0"/>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4C6496EC" w14:textId="77777777" w:rsidR="00115CA0" w:rsidRDefault="00115CA0" w:rsidP="00115CA0">
      <w:pPr>
        <w:pStyle w:val="ListParagraph"/>
        <w:spacing w:after="0"/>
      </w:pPr>
    </w:p>
    <w:p w14:paraId="585DD1E8" w14:textId="1E351710" w:rsidR="005E4230" w:rsidRDefault="00FF48FE" w:rsidP="00115CA0">
      <w:pPr>
        <w:spacing w:after="0"/>
        <w:ind w:left="720"/>
        <w:jc w:val="both"/>
        <w:rPr>
          <w:i/>
          <w:color w:val="2E74B5" w:themeColor="accent1" w:themeShade="BF"/>
        </w:rPr>
      </w:pPr>
      <w:r>
        <w:rPr>
          <w:i/>
          <w:color w:val="2E74B5" w:themeColor="accent1" w:themeShade="BF"/>
        </w:rPr>
        <w:t>Recommendation to add the following into regulation for retail marijuana:</w:t>
      </w:r>
    </w:p>
    <w:p w14:paraId="17A20A5D" w14:textId="77777777" w:rsidR="00FF48FE" w:rsidRDefault="00FF48FE" w:rsidP="00115CA0">
      <w:pPr>
        <w:spacing w:after="0"/>
        <w:ind w:left="720"/>
        <w:jc w:val="both"/>
        <w:rPr>
          <w:i/>
          <w:color w:val="2E74B5" w:themeColor="accent1" w:themeShade="BF"/>
        </w:rPr>
      </w:pPr>
    </w:p>
    <w:p w14:paraId="11C7DC85" w14:textId="77777777" w:rsidR="00FF48FE" w:rsidRPr="00FF48FE" w:rsidRDefault="00FF48FE" w:rsidP="00115CA0">
      <w:pPr>
        <w:pStyle w:val="ListParagraph"/>
        <w:numPr>
          <w:ilvl w:val="1"/>
          <w:numId w:val="2"/>
        </w:numPr>
        <w:jc w:val="both"/>
        <w:rPr>
          <w:i/>
          <w:color w:val="2E74B5" w:themeColor="accent1" w:themeShade="BF"/>
        </w:rPr>
      </w:pPr>
      <w:r w:rsidRPr="00FF48FE">
        <w:rPr>
          <w:i/>
          <w:color w:val="2E74B5" w:themeColor="accent1" w:themeShade="BF"/>
        </w:rPr>
        <w:t>Certification through Nevada Department of Agriculture (NDA) Pesticide Certification Program of at least one cultivation facility staff member in Commercial Greenhouse category for indoor cultivation and/or Commercial Agricultural Plant/Animal category for outdoor cultivation.</w:t>
      </w:r>
    </w:p>
    <w:p w14:paraId="2C9A4AC6" w14:textId="77777777" w:rsidR="00FF48FE" w:rsidRPr="00FF48FE" w:rsidRDefault="00FF48FE" w:rsidP="00115CA0">
      <w:pPr>
        <w:pStyle w:val="ListParagraph"/>
        <w:numPr>
          <w:ilvl w:val="1"/>
          <w:numId w:val="2"/>
        </w:numPr>
        <w:jc w:val="both"/>
        <w:rPr>
          <w:i/>
          <w:color w:val="2E74B5" w:themeColor="accent1" w:themeShade="BF"/>
        </w:rPr>
      </w:pPr>
      <w:r w:rsidRPr="00FF48FE">
        <w:rPr>
          <w:i/>
          <w:color w:val="2E74B5" w:themeColor="accent1" w:themeShade="BF"/>
        </w:rPr>
        <w:t>Pesticide Education Consultation performed by Nevada Department of Agriculture inspectors with Cultivation Staff at initial Certification of Indoor/Outdoor Cultivation Facilities.</w:t>
      </w:r>
    </w:p>
    <w:p w14:paraId="296D05AD" w14:textId="78DA969D" w:rsidR="005E4230" w:rsidRPr="00115CA0" w:rsidRDefault="00FF48FE" w:rsidP="00115CA0">
      <w:pPr>
        <w:pStyle w:val="ListParagraph"/>
        <w:numPr>
          <w:ilvl w:val="1"/>
          <w:numId w:val="2"/>
        </w:numPr>
        <w:jc w:val="both"/>
        <w:rPr>
          <w:i/>
          <w:color w:val="2E74B5" w:themeColor="accent1" w:themeShade="BF"/>
        </w:rPr>
      </w:pPr>
      <w:r w:rsidRPr="00FF48FE">
        <w:rPr>
          <w:i/>
          <w:color w:val="2E74B5" w:themeColor="accent1" w:themeShade="BF"/>
        </w:rPr>
        <w:t>Submit to random and/or scheduled facility visits by NDA staff inspectors in conjunction with quality assurance or for cause, such as a complaint.</w:t>
      </w:r>
    </w:p>
    <w:p w14:paraId="6E62C578" w14:textId="77777777" w:rsidR="00E9081E" w:rsidRPr="003110FB" w:rsidRDefault="00E9081E" w:rsidP="00E9081E">
      <w:pPr>
        <w:pStyle w:val="ListParagraph"/>
        <w:spacing w:after="0"/>
      </w:pPr>
    </w:p>
    <w:p w14:paraId="1EC95596" w14:textId="7858F08D" w:rsidR="00DD1A10"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7DE9817F" w14:textId="77777777" w:rsidR="005E4230" w:rsidRDefault="005E4230" w:rsidP="005E4230">
      <w:pPr>
        <w:spacing w:after="0"/>
      </w:pPr>
    </w:p>
    <w:p w14:paraId="0DACB822" w14:textId="3620A660" w:rsidR="005E4230" w:rsidRPr="005E4230" w:rsidRDefault="005E4230" w:rsidP="005E4230">
      <w:pPr>
        <w:spacing w:after="0"/>
        <w:ind w:left="720"/>
        <w:rPr>
          <w:i/>
          <w:color w:val="0070C0"/>
        </w:rPr>
      </w:pPr>
      <w:r w:rsidRPr="005E4230">
        <w:rPr>
          <w:i/>
          <w:color w:val="0070C0"/>
        </w:rPr>
        <w:t>None</w:t>
      </w:r>
    </w:p>
    <w:p w14:paraId="6BBB2368" w14:textId="77777777" w:rsidR="00753FA6" w:rsidRPr="003110FB" w:rsidRDefault="00753FA6" w:rsidP="007A4A8C">
      <w:pPr>
        <w:spacing w:after="0"/>
      </w:pPr>
    </w:p>
    <w:p w14:paraId="071157DF" w14:textId="77777777" w:rsidR="00CC30A8" w:rsidRPr="003110FB" w:rsidRDefault="00CC30A8" w:rsidP="007A4A8C">
      <w:pPr>
        <w:spacing w:after="0"/>
      </w:pPr>
    </w:p>
    <w:p w14:paraId="054A4F76" w14:textId="1D9B894B"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8B76A" w14:textId="77777777" w:rsidR="00C7291E" w:rsidRDefault="00C7291E" w:rsidP="00391997">
      <w:pPr>
        <w:spacing w:after="0" w:line="240" w:lineRule="auto"/>
      </w:pPr>
      <w:r>
        <w:separator/>
      </w:r>
    </w:p>
  </w:endnote>
  <w:endnote w:type="continuationSeparator" w:id="0">
    <w:p w14:paraId="678DE3B9" w14:textId="77777777" w:rsidR="00C7291E" w:rsidRDefault="00C7291E"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580CBAD6"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87D36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FC1FA5">
      <w:rPr>
        <w:rFonts w:ascii="Calibri" w:eastAsia="Times New Roman" w:hAnsi="Calibri" w:cs="Times New Roman"/>
        <w:bCs/>
        <w:i/>
        <w:color w:val="3737A5"/>
        <w:sz w:val="16"/>
        <w:szCs w:val="16"/>
      </w:rPr>
      <w:t>March 1</w:t>
    </w:r>
    <w:r w:rsidR="009264B2">
      <w:rPr>
        <w:rFonts w:ascii="Calibri" w:eastAsia="Times New Roman" w:hAnsi="Calibri" w:cs="Times New Roman"/>
        <w:bCs/>
        <w:i/>
        <w:color w:val="3737A5"/>
        <w:sz w:val="16"/>
        <w:szCs w:val="16"/>
      </w:rPr>
      <w:t>7</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C813F" w14:textId="77777777" w:rsidR="00C7291E" w:rsidRDefault="00C7291E" w:rsidP="00391997">
      <w:pPr>
        <w:spacing w:after="0" w:line="240" w:lineRule="auto"/>
      </w:pPr>
      <w:r>
        <w:separator/>
      </w:r>
    </w:p>
  </w:footnote>
  <w:footnote w:type="continuationSeparator" w:id="0">
    <w:p w14:paraId="0EC72BF7" w14:textId="77777777" w:rsidR="00C7291E" w:rsidRDefault="00C7291E"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4B52FE4" w:rsidR="00F43822" w:rsidRPr="00F43822" w:rsidRDefault="00F43822" w:rsidP="008313F9">
    <w:pPr>
      <w:pStyle w:val="Heading2"/>
      <w:ind w:left="0"/>
      <w:jc w:val="center"/>
      <w:rPr>
        <w:sz w:val="22"/>
        <w:szCs w:val="22"/>
      </w:rPr>
    </w:pPr>
    <w:r w:rsidRPr="00F43822">
      <w:rPr>
        <w:sz w:val="22"/>
        <w:szCs w:val="22"/>
      </w:rPr>
      <w:t xml:space="preserve">Working Group </w:t>
    </w:r>
    <w:r w:rsidR="009805E6">
      <w:rPr>
        <w:sz w:val="22"/>
        <w:szCs w:val="22"/>
      </w:rPr>
      <w:t>Presentation</w:t>
    </w:r>
    <w:r w:rsidRPr="00F43822">
      <w:rPr>
        <w:sz w:val="22"/>
        <w:szCs w:val="22"/>
      </w:rPr>
      <w:t xml:space="preserve"> </w:t>
    </w:r>
    <w:r w:rsidR="009805E6">
      <w:rPr>
        <w:sz w:val="22"/>
        <w:szCs w:val="22"/>
      </w:rPr>
      <w:t xml:space="preserve">to the </w:t>
    </w:r>
    <w:r w:rsidR="00AB71F7">
      <w:rPr>
        <w:sz w:val="22"/>
        <w:szCs w:val="22"/>
      </w:rPr>
      <w:t>Task Force</w:t>
    </w:r>
    <w:r w:rsidR="009805E6">
      <w:rPr>
        <w:sz w:val="22"/>
        <w:szCs w:val="22"/>
      </w:rPr>
      <w:t xml:space="preserve"> Form</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B88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E3596"/>
    <w:multiLevelType w:val="hybridMultilevel"/>
    <w:tmpl w:val="1034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51DE2"/>
    <w:rsid w:val="00060468"/>
    <w:rsid w:val="000A61D0"/>
    <w:rsid w:val="000B01A4"/>
    <w:rsid w:val="00114EF2"/>
    <w:rsid w:val="00115CA0"/>
    <w:rsid w:val="001866F9"/>
    <w:rsid w:val="00196158"/>
    <w:rsid w:val="001B0ADC"/>
    <w:rsid w:val="001B10FF"/>
    <w:rsid w:val="00202E4C"/>
    <w:rsid w:val="0023729A"/>
    <w:rsid w:val="00250973"/>
    <w:rsid w:val="002A2329"/>
    <w:rsid w:val="002F5B96"/>
    <w:rsid w:val="003110FB"/>
    <w:rsid w:val="003344EC"/>
    <w:rsid w:val="00391997"/>
    <w:rsid w:val="003E257A"/>
    <w:rsid w:val="004039AB"/>
    <w:rsid w:val="004128B0"/>
    <w:rsid w:val="00435662"/>
    <w:rsid w:val="00442A3F"/>
    <w:rsid w:val="005043DB"/>
    <w:rsid w:val="005509F6"/>
    <w:rsid w:val="00565923"/>
    <w:rsid w:val="005803ED"/>
    <w:rsid w:val="00592887"/>
    <w:rsid w:val="005B3C6C"/>
    <w:rsid w:val="005E102D"/>
    <w:rsid w:val="005E4230"/>
    <w:rsid w:val="00610DCA"/>
    <w:rsid w:val="006562B7"/>
    <w:rsid w:val="00670BDD"/>
    <w:rsid w:val="0067592A"/>
    <w:rsid w:val="006B0A7E"/>
    <w:rsid w:val="006C69D1"/>
    <w:rsid w:val="006D4662"/>
    <w:rsid w:val="00700DCA"/>
    <w:rsid w:val="00753FA6"/>
    <w:rsid w:val="00755B09"/>
    <w:rsid w:val="007746E2"/>
    <w:rsid w:val="00774894"/>
    <w:rsid w:val="007765FD"/>
    <w:rsid w:val="00777932"/>
    <w:rsid w:val="0079300A"/>
    <w:rsid w:val="007A4A8C"/>
    <w:rsid w:val="007B1260"/>
    <w:rsid w:val="007E5090"/>
    <w:rsid w:val="00822B37"/>
    <w:rsid w:val="008313F9"/>
    <w:rsid w:val="00882EE9"/>
    <w:rsid w:val="008D5094"/>
    <w:rsid w:val="008F0634"/>
    <w:rsid w:val="009139D9"/>
    <w:rsid w:val="009201F4"/>
    <w:rsid w:val="009264B2"/>
    <w:rsid w:val="00957E83"/>
    <w:rsid w:val="00961D8A"/>
    <w:rsid w:val="009805E6"/>
    <w:rsid w:val="00996A51"/>
    <w:rsid w:val="009D1938"/>
    <w:rsid w:val="009F522B"/>
    <w:rsid w:val="00A312E6"/>
    <w:rsid w:val="00A65F54"/>
    <w:rsid w:val="00A72E9B"/>
    <w:rsid w:val="00AB71F7"/>
    <w:rsid w:val="00B11C15"/>
    <w:rsid w:val="00B70E4E"/>
    <w:rsid w:val="00BC0B03"/>
    <w:rsid w:val="00BC0F10"/>
    <w:rsid w:val="00BF6BBC"/>
    <w:rsid w:val="00C7291E"/>
    <w:rsid w:val="00CC30A8"/>
    <w:rsid w:val="00CE7AD0"/>
    <w:rsid w:val="00D15932"/>
    <w:rsid w:val="00D22E65"/>
    <w:rsid w:val="00D6241D"/>
    <w:rsid w:val="00D81328"/>
    <w:rsid w:val="00D8569D"/>
    <w:rsid w:val="00D926ED"/>
    <w:rsid w:val="00DA287B"/>
    <w:rsid w:val="00DC4C91"/>
    <w:rsid w:val="00DD1A10"/>
    <w:rsid w:val="00DE0ABD"/>
    <w:rsid w:val="00E41DFB"/>
    <w:rsid w:val="00E74D39"/>
    <w:rsid w:val="00E9081E"/>
    <w:rsid w:val="00E96CEA"/>
    <w:rsid w:val="00EA782F"/>
    <w:rsid w:val="00EC03A5"/>
    <w:rsid w:val="00EF1453"/>
    <w:rsid w:val="00F046BC"/>
    <w:rsid w:val="00F27CF2"/>
    <w:rsid w:val="00F43822"/>
    <w:rsid w:val="00F944B2"/>
    <w:rsid w:val="00FA7232"/>
    <w:rsid w:val="00FC1FA5"/>
    <w:rsid w:val="00FF4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2F5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character" w:customStyle="1" w:styleId="apple-converted-space">
    <w:name w:val="apple-converted-space"/>
    <w:basedOn w:val="DefaultParagraphFont"/>
    <w:rsid w:val="002F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1D2EC-E241-4309-BCAA-62B7E6E5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Stephanie Klapstein</cp:lastModifiedBy>
  <cp:revision>2</cp:revision>
  <cp:lastPrinted>2017-03-24T15:44:00Z</cp:lastPrinted>
  <dcterms:created xsi:type="dcterms:W3CDTF">2017-03-28T14:08:00Z</dcterms:created>
  <dcterms:modified xsi:type="dcterms:W3CDTF">2017-03-28T14:08:00Z</dcterms:modified>
</cp:coreProperties>
</file>